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Borås kommunfullmäktige</w:t>
      </w:r>
    </w:p>
    <w:p>
      <w:pPr>
        <w:pStyle w:val="Heading1"/>
      </w:pPr>
      <w:r>
        <w:t xml:space="preserve">Stärk brottsförebyggande arbete i utsatta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våldsbrott i Borås ligger över rikssnittet (Brå 2024). Flera stadsdelar har återkommande problem med otrygghet. Tidiga insatser och samverkan mellan skola, polis och socialtjänst är nödvändiga.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kommunal brottsförebyggande samordnare med särskilt ansvar för Borås Stadsdelar.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mot våld i offentlig miljö tas fram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skolan och socialtjänsten ska samverka kring tidiga insatser för unga.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årligen i trygghetsrapporten.</w:t>
      </w:r>
    </w:p>
    <w:p>
      <w:pPr>
        <w:spacing w:before="360"/>
      </w:pPr>
    </w:p>
    <w:p>
      <w:r>
        <w:t xml:space="preserve">Borås,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2026-07-14T02:30:52.229Z</dcterms:created>
  <dcterms:modified xsi:type="dcterms:W3CDTF">2026-07-14T02:30:52.229Z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